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E360" w14:textId="77777777" w:rsidR="00022DD2" w:rsidRDefault="00022DD2">
      <w:pPr>
        <w:pStyle w:val="BodyText"/>
        <w:rPr>
          <w:rFonts w:ascii="Times New Roman"/>
          <w:sz w:val="20"/>
        </w:rPr>
      </w:pPr>
    </w:p>
    <w:p w14:paraId="06F9B90A" w14:textId="77777777" w:rsidR="00022DD2" w:rsidRDefault="00022DD2">
      <w:pPr>
        <w:pStyle w:val="BodyText"/>
        <w:spacing w:before="3"/>
        <w:rPr>
          <w:rFonts w:ascii="Times New Roman"/>
          <w:sz w:val="21"/>
        </w:rPr>
      </w:pPr>
    </w:p>
    <w:p w14:paraId="353C5BF9" w14:textId="77777777" w:rsidR="00022DD2" w:rsidRDefault="00B37ED9">
      <w:pPr>
        <w:spacing w:before="99"/>
        <w:ind w:left="2751" w:right="2745"/>
        <w:jc w:val="center"/>
        <w:rPr>
          <w:b/>
          <w:sz w:val="32"/>
        </w:rPr>
      </w:pPr>
      <w:r>
        <w:rPr>
          <w:b/>
          <w:sz w:val="32"/>
        </w:rPr>
        <w:t>Purchase Agreement</w:t>
      </w:r>
    </w:p>
    <w:p w14:paraId="67A120CB" w14:textId="77777777" w:rsidR="00022DD2" w:rsidRDefault="00022DD2">
      <w:pPr>
        <w:pStyle w:val="BodyText"/>
        <w:rPr>
          <w:b/>
          <w:sz w:val="42"/>
        </w:rPr>
      </w:pPr>
    </w:p>
    <w:p w14:paraId="2B73F493" w14:textId="77777777" w:rsidR="00022DD2" w:rsidRDefault="00022DD2">
      <w:pPr>
        <w:pStyle w:val="BodyText"/>
        <w:spacing w:before="12"/>
        <w:rPr>
          <w:b/>
          <w:sz w:val="28"/>
        </w:rPr>
      </w:pPr>
    </w:p>
    <w:p w14:paraId="1A7A634D" w14:textId="6018B562" w:rsidR="00022DD2" w:rsidRDefault="00B37ED9">
      <w:pPr>
        <w:pStyle w:val="BodyText"/>
        <w:spacing w:line="360" w:lineRule="auto"/>
        <w:ind w:left="104" w:right="4094"/>
      </w:pPr>
      <w:r>
        <w:t>The Buyer:</w:t>
      </w:r>
      <w:r w:rsidR="00DF5C9D">
        <w:t xml:space="preserve"> </w:t>
      </w:r>
      <w:r>
        <w:t xml:space="preserve">Red Magic Technology Co., Ltd. The Seller: </w:t>
      </w:r>
      <w:r w:rsidR="00947511" w:rsidRPr="00947511">
        <w:rPr>
          <w:rFonts w:hint="eastAsia"/>
        </w:rPr>
        <w:t>Gigi</w:t>
      </w:r>
      <w:r>
        <w:t xml:space="preserve"> Ltd</w:t>
      </w:r>
    </w:p>
    <w:p w14:paraId="644047C7" w14:textId="77777777" w:rsidR="00022DD2" w:rsidRDefault="00B37ED9">
      <w:pPr>
        <w:pStyle w:val="BodyText"/>
        <w:spacing w:before="239" w:line="360" w:lineRule="auto"/>
        <w:ind w:left="584"/>
      </w:pPr>
      <w:bookmarkStart w:id="0" w:name="Both_the_BUYER_and_the_SELLER_have_reach"/>
      <w:bookmarkEnd w:id="0"/>
      <w:r>
        <w:t xml:space="preserve">Both </w:t>
      </w:r>
      <w:r>
        <w:rPr>
          <w:b/>
        </w:rPr>
        <w:t xml:space="preserve">the BUYER </w:t>
      </w:r>
      <w:r>
        <w:t xml:space="preserve">and </w:t>
      </w:r>
      <w:r>
        <w:rPr>
          <w:b/>
        </w:rPr>
        <w:t xml:space="preserve">the SELLER </w:t>
      </w:r>
      <w:r>
        <w:t xml:space="preserve">have reached the following agreements based on the principles of equality, voluntariness and consensus, and promised to abide by </w:t>
      </w:r>
      <w:r>
        <w:t>them together.</w:t>
      </w:r>
    </w:p>
    <w:p w14:paraId="110E9016" w14:textId="77777777" w:rsidR="00022DD2" w:rsidRDefault="00022DD2">
      <w:pPr>
        <w:pStyle w:val="BodyText"/>
        <w:spacing w:before="2"/>
        <w:rPr>
          <w:sz w:val="40"/>
        </w:rPr>
      </w:pPr>
    </w:p>
    <w:p w14:paraId="76BA59F4" w14:textId="77777777" w:rsidR="00022DD2" w:rsidRDefault="00B37ED9">
      <w:pPr>
        <w:pStyle w:val="Heading1"/>
        <w:numPr>
          <w:ilvl w:val="0"/>
          <w:numId w:val="1"/>
        </w:numPr>
        <w:tabs>
          <w:tab w:val="left" w:pos="791"/>
        </w:tabs>
        <w:spacing w:before="1"/>
      </w:pPr>
      <w:r>
        <w:t>The Buyer purchases the following products from the</w:t>
      </w:r>
      <w:r>
        <w:rPr>
          <w:spacing w:val="-11"/>
        </w:rPr>
        <w:t xml:space="preserve"> </w:t>
      </w:r>
      <w:r>
        <w:t>Seller</w:t>
      </w:r>
    </w:p>
    <w:p w14:paraId="6619EE28" w14:textId="77777777" w:rsidR="00022DD2" w:rsidRDefault="00022DD2">
      <w:pPr>
        <w:pStyle w:val="BodyText"/>
        <w:spacing w:before="2"/>
        <w:rPr>
          <w:b/>
          <w:sz w:val="31"/>
        </w:rPr>
      </w:pPr>
    </w:p>
    <w:p w14:paraId="0BD272F0" w14:textId="77777777" w:rsidR="00022DD2" w:rsidRDefault="00B37ED9">
      <w:pPr>
        <w:pStyle w:val="BodyText"/>
        <w:tabs>
          <w:tab w:val="left" w:pos="3444"/>
          <w:tab w:val="left" w:pos="5356"/>
        </w:tabs>
        <w:ind w:left="584"/>
      </w:pPr>
      <w:r>
        <w:t>(1). The quantity</w:t>
      </w:r>
      <w:r>
        <w:rPr>
          <w:spacing w:val="-6"/>
        </w:rPr>
        <w:t xml:space="preserve"> </w:t>
      </w:r>
      <w:r>
        <w:t>unit</w:t>
      </w:r>
      <w:r>
        <w:rPr>
          <w:spacing w:val="-1"/>
        </w:rPr>
        <w:t xml:space="preserve"> </w:t>
      </w:r>
      <w:r>
        <w:t>is</w:t>
      </w:r>
      <w:r>
        <w:rPr>
          <w:u w:val="single"/>
        </w:rPr>
        <w:t xml:space="preserve"> </w:t>
      </w:r>
      <w:r>
        <w:rPr>
          <w:u w:val="single"/>
        </w:rPr>
        <w:tab/>
        <w:t>One</w:t>
      </w:r>
      <w:r>
        <w:rPr>
          <w:spacing w:val="-6"/>
          <w:u w:val="single"/>
        </w:rPr>
        <w:t xml:space="preserve"> </w:t>
      </w:r>
      <w:r>
        <w:rPr>
          <w:u w:val="single"/>
        </w:rPr>
        <w:t>million</w:t>
      </w:r>
      <w:r>
        <w:rPr>
          <w:u w:val="single"/>
        </w:rPr>
        <w:tab/>
      </w:r>
    </w:p>
    <w:p w14:paraId="23902513" w14:textId="77777777" w:rsidR="00022DD2" w:rsidRDefault="00022DD2">
      <w:pPr>
        <w:pStyle w:val="BodyText"/>
        <w:spacing w:before="11"/>
        <w:rPr>
          <w:sz w:val="23"/>
        </w:rPr>
      </w:pPr>
    </w:p>
    <w:p w14:paraId="6BEB131B" w14:textId="77777777" w:rsidR="00022DD2" w:rsidRDefault="00B37ED9">
      <w:pPr>
        <w:pStyle w:val="BodyText"/>
        <w:spacing w:before="100"/>
        <w:ind w:left="584"/>
      </w:pPr>
      <w:r>
        <w:t>(2</w:t>
      </w:r>
      <w:proofErr w:type="gramStart"/>
      <w:r>
        <w:t>).The</w:t>
      </w:r>
      <w:proofErr w:type="gramEnd"/>
      <w:r>
        <w:t xml:space="preserve"> unit includes </w:t>
      </w:r>
      <w:r>
        <w:rPr>
          <w:rFonts w:ascii="MS UI Gothic" w:hAnsi="MS UI Gothic"/>
        </w:rPr>
        <w:t>☑</w:t>
      </w:r>
      <w:r>
        <w:rPr>
          <w:rFonts w:ascii="MS UI Gothic" w:hAnsi="MS UI Gothic"/>
        </w:rPr>
        <w:t xml:space="preserve"> </w:t>
      </w:r>
      <w:r>
        <w:t xml:space="preserve">tax receipt </w:t>
      </w:r>
      <w:r>
        <w:rPr>
          <w:rFonts w:ascii="MS UI Gothic" w:hAnsi="MS UI Gothic"/>
        </w:rPr>
        <w:t>☑</w:t>
      </w:r>
      <w:r>
        <w:rPr>
          <w:rFonts w:ascii="MS UI Gothic" w:hAnsi="MS UI Gothic"/>
        </w:rPr>
        <w:t xml:space="preserve"> </w:t>
      </w:r>
      <w:r>
        <w:t xml:space="preserve">shipping fee </w:t>
      </w:r>
      <w:r>
        <w:rPr>
          <w:rFonts w:ascii="MS UI Gothic" w:hAnsi="MS UI Gothic"/>
        </w:rPr>
        <w:t>☑</w:t>
      </w:r>
      <w:r>
        <w:rPr>
          <w:rFonts w:ascii="MS UI Gothic" w:hAnsi="MS UI Gothic"/>
        </w:rPr>
        <w:t xml:space="preserve"> </w:t>
      </w:r>
      <w:r>
        <w:t>packing fee</w:t>
      </w:r>
    </w:p>
    <w:p w14:paraId="3448DE68" w14:textId="77777777" w:rsidR="00022DD2" w:rsidRDefault="00022DD2">
      <w:pPr>
        <w:pStyle w:val="BodyText"/>
        <w:rPr>
          <w:sz w:val="32"/>
        </w:rPr>
      </w:pPr>
    </w:p>
    <w:p w14:paraId="6A890F53" w14:textId="77777777" w:rsidR="00022DD2" w:rsidRDefault="00022DD2">
      <w:pPr>
        <w:pStyle w:val="BodyText"/>
        <w:spacing w:before="4"/>
        <w:rPr>
          <w:sz w:val="35"/>
        </w:rPr>
      </w:pPr>
    </w:p>
    <w:p w14:paraId="271DD14C" w14:textId="77777777" w:rsidR="00022DD2" w:rsidRDefault="00B37ED9">
      <w:pPr>
        <w:pStyle w:val="Heading1"/>
        <w:numPr>
          <w:ilvl w:val="0"/>
          <w:numId w:val="1"/>
        </w:numPr>
        <w:tabs>
          <w:tab w:val="left" w:pos="791"/>
        </w:tabs>
      </w:pPr>
      <w:bookmarkStart w:id="1" w:name="2.Term"/>
      <w:bookmarkEnd w:id="1"/>
      <w:r>
        <w:t>Term</w:t>
      </w:r>
    </w:p>
    <w:p w14:paraId="3DF32AE6" w14:textId="77777777" w:rsidR="00022DD2" w:rsidRDefault="00022DD2">
      <w:pPr>
        <w:pStyle w:val="BodyText"/>
        <w:spacing w:before="2"/>
        <w:rPr>
          <w:b/>
          <w:sz w:val="31"/>
        </w:rPr>
      </w:pPr>
    </w:p>
    <w:p w14:paraId="34C18EAD" w14:textId="77777777" w:rsidR="00022DD2" w:rsidRDefault="00B37ED9">
      <w:pPr>
        <w:pStyle w:val="BodyText"/>
        <w:ind w:left="584"/>
      </w:pPr>
      <w:r>
        <w:t>(1</w:t>
      </w:r>
      <w:proofErr w:type="gramStart"/>
      <w:r>
        <w:t>).The</w:t>
      </w:r>
      <w:proofErr w:type="gramEnd"/>
      <w:r>
        <w:t xml:space="preserve"> delivery term ends</w:t>
      </w:r>
      <w:r>
        <w:rPr>
          <w:u w:val="single"/>
        </w:rPr>
        <w:t xml:space="preserve"> 24/09/2021</w:t>
      </w:r>
      <w:r>
        <w:t xml:space="preserve"> (dd/mm/</w:t>
      </w:r>
      <w:proofErr w:type="spellStart"/>
      <w:r>
        <w:t>yy</w:t>
      </w:r>
      <w:proofErr w:type="spellEnd"/>
      <w:r>
        <w:t>).</w:t>
      </w:r>
    </w:p>
    <w:p w14:paraId="008B4384" w14:textId="77777777" w:rsidR="00022DD2" w:rsidRDefault="00022DD2">
      <w:pPr>
        <w:pStyle w:val="BodyText"/>
        <w:rPr>
          <w:sz w:val="32"/>
        </w:rPr>
      </w:pPr>
    </w:p>
    <w:p w14:paraId="79A9C90F" w14:textId="77777777" w:rsidR="00022DD2" w:rsidRDefault="00B37ED9">
      <w:pPr>
        <w:pStyle w:val="BodyText"/>
        <w:spacing w:before="229" w:line="360" w:lineRule="auto"/>
        <w:ind w:left="584"/>
      </w:pPr>
      <w:r>
        <w:t>(2</w:t>
      </w:r>
      <w:proofErr w:type="gramStart"/>
      <w:r>
        <w:t>).The</w:t>
      </w:r>
      <w:proofErr w:type="gramEnd"/>
      <w:r>
        <w:t xml:space="preserve"> </w:t>
      </w:r>
      <w:r>
        <w:t>Seller is responsible for delivering the goods to the warehouse designated by the Buyer.</w:t>
      </w:r>
    </w:p>
    <w:p w14:paraId="019347CE" w14:textId="77777777" w:rsidR="00022DD2" w:rsidRDefault="00022DD2">
      <w:pPr>
        <w:pStyle w:val="BodyText"/>
        <w:rPr>
          <w:sz w:val="32"/>
        </w:rPr>
      </w:pPr>
    </w:p>
    <w:p w14:paraId="0A365287" w14:textId="77777777" w:rsidR="00022DD2" w:rsidRDefault="00022DD2">
      <w:pPr>
        <w:pStyle w:val="BodyText"/>
        <w:spacing w:before="4"/>
        <w:rPr>
          <w:sz w:val="21"/>
        </w:rPr>
      </w:pPr>
    </w:p>
    <w:p w14:paraId="6108AA5B" w14:textId="77777777" w:rsidR="00022DD2" w:rsidRDefault="00B37ED9">
      <w:pPr>
        <w:pStyle w:val="Heading1"/>
        <w:numPr>
          <w:ilvl w:val="0"/>
          <w:numId w:val="1"/>
        </w:numPr>
        <w:tabs>
          <w:tab w:val="left" w:pos="791"/>
        </w:tabs>
      </w:pPr>
      <w:bookmarkStart w:id="2" w:name="3.Payment"/>
      <w:bookmarkEnd w:id="2"/>
      <w:r>
        <w:t>Payment</w:t>
      </w:r>
    </w:p>
    <w:p w14:paraId="247C5BEF" w14:textId="77777777" w:rsidR="00022DD2" w:rsidRDefault="00022DD2">
      <w:pPr>
        <w:pStyle w:val="BodyText"/>
        <w:spacing w:before="4"/>
        <w:rPr>
          <w:b/>
          <w:sz w:val="31"/>
        </w:rPr>
      </w:pPr>
    </w:p>
    <w:p w14:paraId="51DFAD26" w14:textId="77777777" w:rsidR="00022DD2" w:rsidRDefault="00B37ED9">
      <w:pPr>
        <w:pStyle w:val="BodyText"/>
        <w:spacing w:line="360" w:lineRule="auto"/>
        <w:ind w:left="584" w:right="497"/>
      </w:pPr>
      <w:r>
        <w:t>(1</w:t>
      </w:r>
      <w:proofErr w:type="gramStart"/>
      <w:r>
        <w:t>).The</w:t>
      </w:r>
      <w:proofErr w:type="gramEnd"/>
      <w:r>
        <w:t xml:space="preserve"> Buyer shall remit the total amount of the payment to the Seller’s bank account on the day before the delivery date.</w:t>
      </w:r>
    </w:p>
    <w:p w14:paraId="0D027608" w14:textId="77777777" w:rsidR="00022DD2" w:rsidRDefault="00B37ED9">
      <w:pPr>
        <w:pStyle w:val="BodyText"/>
        <w:spacing w:line="360" w:lineRule="auto"/>
        <w:ind w:left="584"/>
      </w:pPr>
      <w:r>
        <w:t>(2</w:t>
      </w:r>
      <w:proofErr w:type="gramStart"/>
      <w:r>
        <w:t>).Both</w:t>
      </w:r>
      <w:proofErr w:type="gramEnd"/>
      <w:r>
        <w:t xml:space="preserve"> the buyer and the selle</w:t>
      </w:r>
      <w:r>
        <w:t>r shall strictly implement it. The Seller guarantees delivery on time, quality and quantity, and the buyer</w:t>
      </w:r>
    </w:p>
    <w:p w14:paraId="3276C19C" w14:textId="77777777" w:rsidR="00022DD2" w:rsidRDefault="00022DD2">
      <w:pPr>
        <w:spacing w:line="360" w:lineRule="auto"/>
        <w:sectPr w:rsidR="00022DD2">
          <w:type w:val="continuous"/>
          <w:pgSz w:w="11910" w:h="16840"/>
          <w:pgMar w:top="1600" w:right="1500" w:bottom="280" w:left="1540" w:header="720" w:footer="720" w:gutter="0"/>
          <w:cols w:space="720"/>
        </w:sectPr>
      </w:pPr>
    </w:p>
    <w:p w14:paraId="10EE5A10" w14:textId="77777777" w:rsidR="00022DD2" w:rsidRDefault="00B37ED9">
      <w:pPr>
        <w:pStyle w:val="BodyText"/>
        <w:spacing w:before="80" w:line="360" w:lineRule="auto"/>
        <w:ind w:left="584" w:right="497"/>
      </w:pPr>
      <w:r>
        <w:lastRenderedPageBreak/>
        <w:t>guarantees payment on time. Unless there are special circumstances, it shall not unilaterally change or cancel it without authorizati</w:t>
      </w:r>
      <w:r>
        <w:t xml:space="preserve">on. If you need to change or cancel in the middle, you must notify the other party in writing before the </w:t>
      </w:r>
      <w:proofErr w:type="gramStart"/>
      <w:r>
        <w:t>month, and</w:t>
      </w:r>
      <w:proofErr w:type="gramEnd"/>
      <w:r>
        <w:t xml:space="preserve"> get one-to-one opinion before it can take effect.</w:t>
      </w:r>
    </w:p>
    <w:p w14:paraId="2301C9DE" w14:textId="77777777" w:rsidR="00022DD2" w:rsidRDefault="00022DD2">
      <w:pPr>
        <w:pStyle w:val="BodyText"/>
        <w:spacing w:before="12"/>
        <w:rPr>
          <w:sz w:val="35"/>
        </w:rPr>
      </w:pPr>
    </w:p>
    <w:p w14:paraId="16AA0A04" w14:textId="77777777" w:rsidR="00022DD2" w:rsidRDefault="00B37ED9">
      <w:pPr>
        <w:pStyle w:val="Heading1"/>
        <w:numPr>
          <w:ilvl w:val="0"/>
          <w:numId w:val="1"/>
        </w:numPr>
        <w:tabs>
          <w:tab w:val="left" w:pos="851"/>
        </w:tabs>
        <w:ind w:left="850" w:hanging="267"/>
      </w:pPr>
      <w:bookmarkStart w:id="3" w:name="4._Breach_"/>
      <w:bookmarkEnd w:id="3"/>
      <w:r>
        <w:t>Breach</w:t>
      </w:r>
    </w:p>
    <w:p w14:paraId="144EF00E" w14:textId="77777777" w:rsidR="00022DD2" w:rsidRDefault="00022DD2">
      <w:pPr>
        <w:pStyle w:val="BodyText"/>
        <w:spacing w:before="5"/>
        <w:rPr>
          <w:b/>
          <w:sz w:val="31"/>
        </w:rPr>
      </w:pPr>
    </w:p>
    <w:p w14:paraId="335C1032" w14:textId="77777777" w:rsidR="00022DD2" w:rsidRDefault="00B37ED9">
      <w:pPr>
        <w:pStyle w:val="BodyText"/>
        <w:spacing w:line="360" w:lineRule="auto"/>
        <w:ind w:left="584" w:right="475"/>
        <w:jc w:val="both"/>
      </w:pPr>
      <w:r>
        <w:t>(1</w:t>
      </w:r>
      <w:proofErr w:type="gramStart"/>
      <w:r>
        <w:t>).When</w:t>
      </w:r>
      <w:proofErr w:type="gramEnd"/>
      <w:r>
        <w:t xml:space="preserve"> the Buyer fails to perform any of the payment methods or </w:t>
      </w:r>
      <w:r>
        <w:t>abolishes it without reason, the Seller can stop the shipment by itself and confiscate the deposit, and the Buyer shall not object. When the Seller fails to perform any of the delivery methods or cancels the contract without reason, the Seller should pay b</w:t>
      </w:r>
      <w:r>
        <w:t>ack the Buyer with a double deposit.</w:t>
      </w:r>
    </w:p>
    <w:p w14:paraId="6DE61019" w14:textId="77777777" w:rsidR="00022DD2" w:rsidRDefault="00B37ED9">
      <w:pPr>
        <w:pStyle w:val="BodyText"/>
        <w:spacing w:before="1" w:line="360" w:lineRule="auto"/>
        <w:ind w:left="584" w:right="787"/>
      </w:pPr>
      <w:r>
        <w:t>(2</w:t>
      </w:r>
      <w:proofErr w:type="gramStart"/>
      <w:r>
        <w:t>).If</w:t>
      </w:r>
      <w:proofErr w:type="gramEnd"/>
      <w:r>
        <w:t xml:space="preserve"> the Buyer and the Seller have other breaches of contract, they can be dealt with in accordance with the provisions on liability for breach of contract in the Economic Contract Law.</w:t>
      </w:r>
    </w:p>
    <w:p w14:paraId="2E04894B" w14:textId="77777777" w:rsidR="00022DD2" w:rsidRDefault="00022DD2">
      <w:pPr>
        <w:pStyle w:val="BodyText"/>
        <w:rPr>
          <w:sz w:val="32"/>
        </w:rPr>
      </w:pPr>
    </w:p>
    <w:p w14:paraId="7F13BF9C" w14:textId="77777777" w:rsidR="00022DD2" w:rsidRDefault="00022DD2">
      <w:pPr>
        <w:pStyle w:val="BodyText"/>
        <w:spacing w:before="3"/>
        <w:rPr>
          <w:sz w:val="21"/>
        </w:rPr>
      </w:pPr>
    </w:p>
    <w:p w14:paraId="33AABACF" w14:textId="77777777" w:rsidR="00022DD2" w:rsidRDefault="00B37ED9">
      <w:pPr>
        <w:pStyle w:val="Heading1"/>
        <w:numPr>
          <w:ilvl w:val="0"/>
          <w:numId w:val="1"/>
        </w:numPr>
        <w:tabs>
          <w:tab w:val="left" w:pos="851"/>
        </w:tabs>
        <w:ind w:left="850" w:hanging="267"/>
      </w:pPr>
      <w:bookmarkStart w:id="4" w:name="5._Contract_modification_and_termination"/>
      <w:bookmarkEnd w:id="4"/>
      <w:r>
        <w:t xml:space="preserve">Contract </w:t>
      </w:r>
      <w:r>
        <w:t>modification and</w:t>
      </w:r>
      <w:r>
        <w:rPr>
          <w:spacing w:val="-1"/>
        </w:rPr>
        <w:t xml:space="preserve"> </w:t>
      </w:r>
      <w:r>
        <w:t>termination</w:t>
      </w:r>
    </w:p>
    <w:p w14:paraId="37CD69D9" w14:textId="77777777" w:rsidR="00022DD2" w:rsidRDefault="00022DD2">
      <w:pPr>
        <w:pStyle w:val="BodyText"/>
        <w:spacing w:before="5"/>
        <w:rPr>
          <w:b/>
          <w:sz w:val="31"/>
        </w:rPr>
      </w:pPr>
    </w:p>
    <w:p w14:paraId="5E626AB8" w14:textId="77777777" w:rsidR="00022DD2" w:rsidRDefault="00B37ED9">
      <w:pPr>
        <w:pStyle w:val="BodyText"/>
        <w:spacing w:line="360" w:lineRule="auto"/>
        <w:ind w:left="584" w:right="430"/>
      </w:pPr>
      <w:r>
        <w:t>(</w:t>
      </w:r>
      <w:proofErr w:type="gramStart"/>
      <w:r>
        <w:t>1)When</w:t>
      </w:r>
      <w:proofErr w:type="gramEnd"/>
      <w:r>
        <w:t xml:space="preserve"> this contract is established, if the price of the goods rises or falls, it will not affect the quantity and price stipulated in this contract. (</w:t>
      </w:r>
      <w:proofErr w:type="gramStart"/>
      <w:r>
        <w:t>2)If</w:t>
      </w:r>
      <w:proofErr w:type="gramEnd"/>
      <w:r>
        <w:t xml:space="preserve"> either party of both parties is unable to perform the contract due to</w:t>
      </w:r>
      <w:r>
        <w:t xml:space="preserve"> force majeure, it shall promptly submit the reasons for non- performance, partial performance or postponement of performance to the other party, and notify the other party to cancel or modify the contract in writing.</w:t>
      </w:r>
    </w:p>
    <w:p w14:paraId="00A4FA3A" w14:textId="77777777" w:rsidR="00022DD2" w:rsidRDefault="00022DD2">
      <w:pPr>
        <w:spacing w:line="360" w:lineRule="auto"/>
        <w:sectPr w:rsidR="00022DD2">
          <w:pgSz w:w="11910" w:h="16840"/>
          <w:pgMar w:top="1500" w:right="1500" w:bottom="280" w:left="1540" w:header="720" w:footer="720" w:gutter="0"/>
          <w:cols w:space="720"/>
        </w:sectPr>
      </w:pPr>
    </w:p>
    <w:p w14:paraId="54202D54" w14:textId="77777777" w:rsidR="00022DD2" w:rsidRDefault="00B37ED9">
      <w:pPr>
        <w:pStyle w:val="Heading1"/>
        <w:numPr>
          <w:ilvl w:val="0"/>
          <w:numId w:val="1"/>
        </w:numPr>
        <w:tabs>
          <w:tab w:val="left" w:pos="851"/>
        </w:tabs>
        <w:spacing w:before="80"/>
        <w:ind w:left="850" w:hanging="267"/>
      </w:pPr>
      <w:bookmarkStart w:id="5" w:name="6._Contract_disputes"/>
      <w:bookmarkEnd w:id="5"/>
      <w:r>
        <w:lastRenderedPageBreak/>
        <w:t>Contract disputes</w:t>
      </w:r>
    </w:p>
    <w:p w14:paraId="7177DA70" w14:textId="77777777" w:rsidR="00022DD2" w:rsidRDefault="00B37ED9">
      <w:pPr>
        <w:pStyle w:val="BodyText"/>
        <w:spacing w:before="163" w:line="360" w:lineRule="auto"/>
        <w:ind w:left="584" w:right="571"/>
      </w:pPr>
      <w:r>
        <w:t>In the</w:t>
      </w:r>
      <w:r>
        <w:t xml:space="preserve"> course of the performance of this contract, if there is a dispute between Party A and Party B, it shall be settled through friendly </w:t>
      </w:r>
      <w:proofErr w:type="gramStart"/>
      <w:r>
        <w:t>negotiation</w:t>
      </w:r>
      <w:proofErr w:type="gramEnd"/>
      <w:r>
        <w:t xml:space="preserve"> or a ruling shall be made in the court where Party B is located.</w:t>
      </w:r>
    </w:p>
    <w:p w14:paraId="1E03E7B6" w14:textId="77777777" w:rsidR="00022DD2" w:rsidRDefault="00022DD2">
      <w:pPr>
        <w:pStyle w:val="BodyText"/>
        <w:spacing w:before="5"/>
        <w:rPr>
          <w:sz w:val="44"/>
        </w:rPr>
      </w:pPr>
    </w:p>
    <w:p w14:paraId="16DCEFAF" w14:textId="77777777" w:rsidR="00022DD2" w:rsidRDefault="00B37ED9">
      <w:pPr>
        <w:pStyle w:val="Heading1"/>
        <w:numPr>
          <w:ilvl w:val="0"/>
          <w:numId w:val="1"/>
        </w:numPr>
        <w:tabs>
          <w:tab w:val="left" w:pos="851"/>
        </w:tabs>
        <w:spacing w:line="360" w:lineRule="auto"/>
        <w:ind w:left="584" w:right="427" w:firstLine="0"/>
      </w:pPr>
      <w:bookmarkStart w:id="6" w:name="7._This_contract_is_in_duplicate,_and__t"/>
      <w:bookmarkEnd w:id="6"/>
      <w:r>
        <w:t xml:space="preserve">This contract is in duplicate, and the Buyer </w:t>
      </w:r>
      <w:r>
        <w:t>and the Seller</w:t>
      </w:r>
      <w:r>
        <w:rPr>
          <w:spacing w:val="40"/>
        </w:rPr>
        <w:t xml:space="preserve"> </w:t>
      </w:r>
      <w:r>
        <w:t>each hold one</w:t>
      </w:r>
      <w:r>
        <w:rPr>
          <w:spacing w:val="-3"/>
        </w:rPr>
        <w:t xml:space="preserve"> </w:t>
      </w:r>
      <w:r>
        <w:t>copy.</w:t>
      </w:r>
    </w:p>
    <w:p w14:paraId="34E3D9C0" w14:textId="77777777" w:rsidR="00022DD2" w:rsidRDefault="00022DD2">
      <w:pPr>
        <w:pStyle w:val="BodyText"/>
        <w:rPr>
          <w:b/>
          <w:sz w:val="32"/>
        </w:rPr>
      </w:pPr>
    </w:p>
    <w:p w14:paraId="2425780A" w14:textId="77777777" w:rsidR="00022DD2" w:rsidRDefault="00022DD2">
      <w:pPr>
        <w:pStyle w:val="BodyText"/>
        <w:rPr>
          <w:b/>
          <w:sz w:val="32"/>
        </w:rPr>
      </w:pPr>
    </w:p>
    <w:p w14:paraId="4C7AD094" w14:textId="0BEADD56" w:rsidR="00022DD2" w:rsidRDefault="00022DD2">
      <w:pPr>
        <w:pStyle w:val="BodyText"/>
        <w:spacing w:before="2"/>
        <w:rPr>
          <w:b/>
          <w:sz w:val="44"/>
        </w:rPr>
      </w:pPr>
    </w:p>
    <w:p w14:paraId="1EA09968" w14:textId="0019A9F3" w:rsidR="00022DD2" w:rsidRDefault="00B37ED9">
      <w:pPr>
        <w:pStyle w:val="BodyText"/>
        <w:tabs>
          <w:tab w:val="left" w:pos="5508"/>
        </w:tabs>
        <w:ind w:left="660"/>
        <w:rPr>
          <w:rFonts w:ascii="宋体" w:eastAsia="宋体"/>
          <w:lang w:eastAsia="zh-CN"/>
        </w:rPr>
      </w:pPr>
      <w:r>
        <w:rPr>
          <w:noProof/>
        </w:rPr>
        <w:drawing>
          <wp:anchor distT="0" distB="0" distL="0" distR="0" simplePos="0" relativeHeight="251659264" behindDoc="1" locked="0" layoutInCell="1" allowOverlap="1" wp14:anchorId="1229E3E1" wp14:editId="6C17F1F2">
            <wp:simplePos x="0" y="0"/>
            <wp:positionH relativeFrom="page">
              <wp:posOffset>1925955</wp:posOffset>
            </wp:positionH>
            <wp:positionV relativeFrom="paragraph">
              <wp:posOffset>-343535</wp:posOffset>
            </wp:positionV>
            <wp:extent cx="2316480" cy="7162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316480" cy="716279"/>
                    </a:xfrm>
                    <a:prstGeom prst="rect">
                      <a:avLst/>
                    </a:prstGeom>
                  </pic:spPr>
                </pic:pic>
              </a:graphicData>
            </a:graphic>
          </wp:anchor>
        </w:drawing>
      </w:r>
      <w:r>
        <w:t>The</w:t>
      </w:r>
      <w:r>
        <w:rPr>
          <w:spacing w:val="-2"/>
        </w:rPr>
        <w:t xml:space="preserve"> </w:t>
      </w:r>
      <w:r>
        <w:t>Buyer</w:t>
      </w:r>
      <w:r>
        <w:rPr>
          <w:rFonts w:ascii="宋体" w:eastAsia="宋体" w:hint="eastAsia"/>
        </w:rPr>
        <w:t>：</w:t>
      </w:r>
      <w:r>
        <w:rPr>
          <w:rFonts w:ascii="宋体" w:eastAsia="宋体" w:hint="eastAsia"/>
        </w:rPr>
        <w:tab/>
      </w:r>
      <w:r>
        <w:t>The</w:t>
      </w:r>
      <w:r>
        <w:rPr>
          <w:spacing w:val="4"/>
        </w:rPr>
        <w:t xml:space="preserve"> </w:t>
      </w:r>
      <w:r>
        <w:t>Seller</w:t>
      </w:r>
      <w:r>
        <w:rPr>
          <w:rFonts w:ascii="宋体" w:eastAsia="宋体" w:hint="eastAsia"/>
        </w:rPr>
        <w:t>：</w:t>
      </w:r>
    </w:p>
    <w:sectPr w:rsidR="00022DD2">
      <w:pgSz w:w="11910" w:h="16840"/>
      <w:pgMar w:top="1500" w:right="150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6B9D" w14:textId="77777777" w:rsidR="00B37ED9" w:rsidRDefault="00B37ED9">
      <w:r>
        <w:separator/>
      </w:r>
    </w:p>
  </w:endnote>
  <w:endnote w:type="continuationSeparator" w:id="0">
    <w:p w14:paraId="3AFFFB54" w14:textId="77777777" w:rsidR="00B37ED9" w:rsidRDefault="00B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9A4B" w14:textId="77777777" w:rsidR="00B37ED9" w:rsidRDefault="00B37ED9">
      <w:r>
        <w:separator/>
      </w:r>
    </w:p>
  </w:footnote>
  <w:footnote w:type="continuationSeparator" w:id="0">
    <w:p w14:paraId="637B7FA2" w14:textId="77777777" w:rsidR="00B37ED9" w:rsidRDefault="00B3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790" w:hanging="207"/>
        <w:jc w:val="left"/>
      </w:pPr>
      <w:rPr>
        <w:rFonts w:ascii="Open Sans" w:eastAsia="Open Sans" w:hAnsi="Open Sans" w:cs="Open Sans" w:hint="default"/>
        <w:b/>
        <w:bCs/>
        <w:spacing w:val="-2"/>
        <w:w w:val="100"/>
        <w:sz w:val="22"/>
        <w:szCs w:val="22"/>
        <w:lang w:val="en-US" w:eastAsia="en-US" w:bidi="en-US"/>
      </w:rPr>
    </w:lvl>
    <w:lvl w:ilvl="1">
      <w:numFmt w:val="bullet"/>
      <w:lvlText w:val="•"/>
      <w:lvlJc w:val="left"/>
      <w:pPr>
        <w:ind w:left="1607" w:hanging="207"/>
      </w:pPr>
      <w:rPr>
        <w:rFonts w:hint="default"/>
        <w:lang w:val="en-US" w:eastAsia="en-US" w:bidi="en-US"/>
      </w:rPr>
    </w:lvl>
    <w:lvl w:ilvl="2">
      <w:numFmt w:val="bullet"/>
      <w:lvlText w:val="•"/>
      <w:lvlJc w:val="left"/>
      <w:pPr>
        <w:ind w:left="2414" w:hanging="207"/>
      </w:pPr>
      <w:rPr>
        <w:rFonts w:hint="default"/>
        <w:lang w:val="en-US" w:eastAsia="en-US" w:bidi="en-US"/>
      </w:rPr>
    </w:lvl>
    <w:lvl w:ilvl="3">
      <w:numFmt w:val="bullet"/>
      <w:lvlText w:val="•"/>
      <w:lvlJc w:val="left"/>
      <w:pPr>
        <w:ind w:left="3221" w:hanging="207"/>
      </w:pPr>
      <w:rPr>
        <w:rFonts w:hint="default"/>
        <w:lang w:val="en-US" w:eastAsia="en-US" w:bidi="en-US"/>
      </w:rPr>
    </w:lvl>
    <w:lvl w:ilvl="4">
      <w:numFmt w:val="bullet"/>
      <w:lvlText w:val="•"/>
      <w:lvlJc w:val="left"/>
      <w:pPr>
        <w:ind w:left="4028" w:hanging="207"/>
      </w:pPr>
      <w:rPr>
        <w:rFonts w:hint="default"/>
        <w:lang w:val="en-US" w:eastAsia="en-US" w:bidi="en-US"/>
      </w:rPr>
    </w:lvl>
    <w:lvl w:ilvl="5">
      <w:numFmt w:val="bullet"/>
      <w:lvlText w:val="•"/>
      <w:lvlJc w:val="left"/>
      <w:pPr>
        <w:ind w:left="4835" w:hanging="207"/>
      </w:pPr>
      <w:rPr>
        <w:rFonts w:hint="default"/>
        <w:lang w:val="en-US" w:eastAsia="en-US" w:bidi="en-US"/>
      </w:rPr>
    </w:lvl>
    <w:lvl w:ilvl="6">
      <w:numFmt w:val="bullet"/>
      <w:lvlText w:val="•"/>
      <w:lvlJc w:val="left"/>
      <w:pPr>
        <w:ind w:left="5642" w:hanging="207"/>
      </w:pPr>
      <w:rPr>
        <w:rFonts w:hint="default"/>
        <w:lang w:val="en-US" w:eastAsia="en-US" w:bidi="en-US"/>
      </w:rPr>
    </w:lvl>
    <w:lvl w:ilvl="7">
      <w:numFmt w:val="bullet"/>
      <w:lvlText w:val="•"/>
      <w:lvlJc w:val="left"/>
      <w:pPr>
        <w:ind w:left="6449" w:hanging="207"/>
      </w:pPr>
      <w:rPr>
        <w:rFonts w:hint="default"/>
        <w:lang w:val="en-US" w:eastAsia="en-US" w:bidi="en-US"/>
      </w:rPr>
    </w:lvl>
    <w:lvl w:ilvl="8">
      <w:numFmt w:val="bullet"/>
      <w:lvlText w:val="•"/>
      <w:lvlJc w:val="left"/>
      <w:pPr>
        <w:ind w:left="7256" w:hanging="20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DD2"/>
    <w:rsid w:val="00022DD2"/>
    <w:rsid w:val="00947511"/>
    <w:rsid w:val="00B37ED9"/>
    <w:rsid w:val="00DF5C9D"/>
    <w:rsid w:val="1A887EDB"/>
    <w:rsid w:val="5492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5787A2"/>
  <w15:docId w15:val="{A098116B-058A-4998-81A2-77FF1E7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Open Sans" w:eastAsia="Open Sans" w:hAnsi="Open Sans" w:cs="Open Sans"/>
      <w:sz w:val="22"/>
      <w:szCs w:val="22"/>
      <w:lang w:eastAsia="en-US" w:bidi="en-US"/>
    </w:rPr>
  </w:style>
  <w:style w:type="paragraph" w:styleId="Heading1">
    <w:name w:val="heading 1"/>
    <w:basedOn w:val="Normal"/>
    <w:next w:val="Normal"/>
    <w:uiPriority w:val="1"/>
    <w:qFormat/>
    <w:pPr>
      <w:ind w:left="790"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790"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WPS学院</dc:creator>
  <cp:lastModifiedBy>A Bo</cp:lastModifiedBy>
  <cp:revision>3</cp:revision>
  <dcterms:created xsi:type="dcterms:W3CDTF">2021-11-17T06:03:00Z</dcterms:created>
  <dcterms:modified xsi:type="dcterms:W3CDTF">2021-12-15T07:02:00Z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WPS Writer</vt:lpwstr>
  </property>
  <property fmtid="{D5CDD505-2E9C-101B-9397-08002B2CF9AE}" pid="4" name="LastSaved">
    <vt:filetime>2021-11-17T00:00:00Z</vt:filetime>
  </property>
  <property fmtid="{D5CDD505-2E9C-101B-9397-08002B2CF9AE}" pid="5" name="KSOProductBuildVer">
    <vt:lpwstr>1033-11.2.0.10382</vt:lpwstr>
  </property>
  <property fmtid="{D5CDD505-2E9C-101B-9397-08002B2CF9AE}" pid="6" name="ICV">
    <vt:lpwstr>C0573E43EE7F475B8FB9D81193EF99F2</vt:lpwstr>
  </property>
</Properties>
</file>